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AF0CF1">
        <w:rPr>
          <w:sz w:val="24"/>
          <w:szCs w:val="24"/>
        </w:rPr>
        <w:t>1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555E46">
        <w:rPr>
          <w:sz w:val="24"/>
          <w:szCs w:val="24"/>
        </w:rPr>
        <w:t>1</w:t>
      </w:r>
      <w:r w:rsidR="00AF0CF1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555E46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F0CF1" w:rsidRPr="0047077E" w:rsidTr="00E46D49">
        <w:trPr>
          <w:trHeight w:val="187"/>
        </w:trPr>
        <w:tc>
          <w:tcPr>
            <w:tcW w:w="2410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</w:pPr>
            <w:r>
              <w:t xml:space="preserve">San Agustín </w:t>
            </w:r>
          </w:p>
        </w:tc>
        <w:tc>
          <w:tcPr>
            <w:tcW w:w="850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AF0CF1" w:rsidRPr="0047077E" w:rsidTr="00E46D49">
        <w:trPr>
          <w:trHeight w:val="199"/>
        </w:trPr>
        <w:tc>
          <w:tcPr>
            <w:tcW w:w="2410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AF0CF1" w:rsidRPr="0047077E" w:rsidTr="00E46D49">
        <w:trPr>
          <w:trHeight w:val="199"/>
        </w:trPr>
        <w:tc>
          <w:tcPr>
            <w:tcW w:w="2410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850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AF0CF1" w:rsidRDefault="003F24ED" w:rsidP="000765DC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F0CF1" w:rsidRPr="0047077E" w:rsidTr="00E46D49">
        <w:trPr>
          <w:trHeight w:val="199"/>
        </w:trPr>
        <w:tc>
          <w:tcPr>
            <w:tcW w:w="2410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AF0CF1" w:rsidRPr="0047077E" w:rsidRDefault="00AF0CF1" w:rsidP="003F2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AF0CF1" w:rsidRPr="0047077E" w:rsidTr="00E46D49">
        <w:trPr>
          <w:trHeight w:val="248"/>
        </w:trPr>
        <w:tc>
          <w:tcPr>
            <w:tcW w:w="2410" w:type="dxa"/>
          </w:tcPr>
          <w:p w:rsidR="00AF0CF1" w:rsidRDefault="00AF0CF1" w:rsidP="003F2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AF0CF1" w:rsidRDefault="00AF0CF1" w:rsidP="003F2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AF0CF1" w:rsidRPr="0047077E" w:rsidTr="00E46D49">
        <w:trPr>
          <w:trHeight w:val="248"/>
        </w:trPr>
        <w:tc>
          <w:tcPr>
            <w:tcW w:w="2410" w:type="dxa"/>
          </w:tcPr>
          <w:p w:rsidR="00AF0CF1" w:rsidRDefault="00AF0CF1" w:rsidP="003F2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AF0CF1" w:rsidRDefault="00AF0CF1" w:rsidP="003F2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AF0CF1" w:rsidRDefault="003F24ED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AF0CF1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AF0CF1">
              <w:t>La Sede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Default="003F24ED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8B48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Default="003F24ED" w:rsidP="005900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F24ED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9045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F24E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ED" w:rsidRPr="00CC55C6" w:rsidRDefault="003F24ED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4ED" w:rsidRPr="00CC55C6" w:rsidRDefault="003F24E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914D36" w:rsidRDefault="005B7CA7" w:rsidP="005B7CA7">
      <w:pPr>
        <w:rPr>
          <w:b/>
        </w:rPr>
      </w:pPr>
      <w:r>
        <w:rPr>
          <w:b/>
        </w:rPr>
        <w:t xml:space="preserve">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AF0CF1">
        <w:rPr>
          <w:b/>
          <w:u w:val="single"/>
        </w:rPr>
        <w:t>26</w:t>
      </w:r>
      <w:proofErr w:type="gramEnd"/>
      <w:r>
        <w:rPr>
          <w:b/>
          <w:u w:val="single"/>
        </w:rPr>
        <w:t xml:space="preserve"> </w:t>
      </w:r>
      <w:r w:rsidR="00A116B6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175919" w:rsidP="00175919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175919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F0CF1" w:rsidP="00AF0CF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  <w:r w:rsidR="00555E46">
              <w:t xml:space="preserve"> </w:t>
            </w:r>
          </w:p>
        </w:tc>
        <w:tc>
          <w:tcPr>
            <w:tcW w:w="2250" w:type="dxa"/>
          </w:tcPr>
          <w:p w:rsidR="00A433EB" w:rsidRPr="0047077E" w:rsidRDefault="00AF0CF1" w:rsidP="00A02B0A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F0CF1" w:rsidP="009B2E97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A433EB" w:rsidRPr="0047077E" w:rsidRDefault="00AF0CF1" w:rsidP="007C3AF1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175919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AF0CF1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2250" w:type="dxa"/>
          </w:tcPr>
          <w:p w:rsidR="00A433EB" w:rsidRPr="0047077E" w:rsidRDefault="00AF0CF1" w:rsidP="00DB7B0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AF0CF1" w:rsidP="007C3AF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 </w:t>
            </w:r>
          </w:p>
        </w:tc>
        <w:tc>
          <w:tcPr>
            <w:tcW w:w="2250" w:type="dxa"/>
          </w:tcPr>
          <w:p w:rsidR="00A433EB" w:rsidRPr="0047077E" w:rsidRDefault="00AF0CF1" w:rsidP="00D049CE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17591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AF0CF1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A433EB" w:rsidRDefault="00AF0CF1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AF0CF1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DB7B0D" w:rsidRDefault="00AF0CF1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D049CE" w:rsidRPr="0047077E" w:rsidTr="000B2C2B">
        <w:trPr>
          <w:trHeight w:val="248"/>
        </w:trPr>
        <w:tc>
          <w:tcPr>
            <w:tcW w:w="2494" w:type="dxa"/>
            <w:gridSpan w:val="2"/>
          </w:tcPr>
          <w:p w:rsidR="00D049CE" w:rsidRDefault="00AF0CF1" w:rsidP="00AF0CF1">
            <w:pPr>
              <w:pStyle w:val="NormalWeb"/>
              <w:jc w:val="center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F24ED">
        <w:t>7, 16, 18</w:t>
      </w:r>
      <w:r w:rsidR="00B51563">
        <w:t>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F24ED">
        <w:t>23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F24ED" w:rsidRDefault="00305EC4" w:rsidP="00305EC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3F24ED">
        <w:t xml:space="preserve">3, 3, 6, 11, 18, 21, </w:t>
      </w:r>
    </w:p>
    <w:p w:rsidR="001329A3" w:rsidRPr="00305EC4" w:rsidRDefault="003F24ED" w:rsidP="00305EC4">
      <w:pPr>
        <w:ind w:left="2552"/>
        <w:rPr>
          <w:u w:val="single"/>
        </w:rPr>
      </w:pPr>
      <w:r>
        <w:t xml:space="preserve">                                                                     25</w:t>
      </w:r>
      <w:r w:rsidR="008B482B">
        <w:t>.</w:t>
      </w:r>
      <w:r w:rsidR="001329A3">
        <w:t xml:space="preserve"> 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F24ED">
        <w:t>1, 6, 8, 8, 3 técnicos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0A7D2E">
        <w:t>9, 22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376CAA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F24ED">
        <w:t>11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76CAA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3F24ED">
        <w:t>1, 3, 24, 28.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7D2E">
        <w:t>1</w:t>
      </w:r>
      <w:r w:rsidR="003F24ED">
        <w:t>3</w:t>
      </w:r>
      <w:r w:rsidR="001329A3">
        <w:t>, 1</w:t>
      </w:r>
      <w:r w:rsidR="003F24ED">
        <w:t>5</w:t>
      </w:r>
      <w:r w:rsidR="001329A3">
        <w:t xml:space="preserve">, </w:t>
      </w:r>
      <w:r w:rsidR="003F24ED">
        <w:t>16</w:t>
      </w:r>
      <w:r w:rsidR="00065E5A">
        <w:t>.</w:t>
      </w:r>
    </w:p>
    <w:p w:rsidR="000A7D2E" w:rsidRDefault="000A7D2E" w:rsidP="000A7D2E">
      <w:pPr>
        <w:ind w:left="2880"/>
      </w:pPr>
    </w:p>
    <w:p w:rsidR="00904575" w:rsidRDefault="00904575" w:rsidP="00904575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F24ED">
        <w:t>4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lastRenderedPageBreak/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lastRenderedPageBreak/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F43FD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BB1" w:rsidRDefault="00610414" w:rsidP="000B2C2B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128,01 €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341,51 €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r>
              <w:t>La Sede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40,50 €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334,50 €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329,97 €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r>
              <w:lastRenderedPageBreak/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347,95 €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proofErr w:type="spellStart"/>
            <w:r>
              <w:t>Pindepa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21,00 €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610414">
            <w:pPr>
              <w:spacing w:before="100" w:after="100"/>
              <w:jc w:val="center"/>
            </w:pPr>
            <w:r>
              <w:t>390,00 €</w:t>
            </w:r>
          </w:p>
        </w:tc>
      </w:tr>
    </w:tbl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692BB1" w:rsidRDefault="00692BB1" w:rsidP="00692BB1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95536E" w:rsidRPr="00B77C4F" w:rsidRDefault="0095536E" w:rsidP="00692BB1">
      <w:pPr>
        <w:shd w:val="clear" w:color="auto" w:fill="FFFFFF"/>
        <w:spacing w:before="100" w:after="100"/>
        <w:jc w:val="both"/>
        <w:textAlignment w:val="top"/>
        <w:rPr>
          <w:b/>
          <w:u w:val="single"/>
        </w:rPr>
      </w:pPr>
    </w:p>
    <w:p w:rsidR="00C1756F" w:rsidRDefault="00C1756F" w:rsidP="00692BB1">
      <w:pPr>
        <w:spacing w:before="100" w:after="100"/>
        <w:jc w:val="both"/>
      </w:pP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22" w:rsidRDefault="00C37322">
      <w:r>
        <w:separator/>
      </w:r>
    </w:p>
  </w:endnote>
  <w:endnote w:type="continuationSeparator" w:id="0">
    <w:p w:rsidR="00C37322" w:rsidRDefault="00C3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ED" w:rsidRDefault="003F24ED">
    <w:pPr>
      <w:pStyle w:val="Piedepgina"/>
      <w:pBdr>
        <w:bottom w:val="single" w:sz="12" w:space="1" w:color="auto"/>
      </w:pBdr>
    </w:pPr>
  </w:p>
  <w:p w:rsidR="003F24ED" w:rsidRPr="00B62BB2" w:rsidRDefault="003F24ED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11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19</w:t>
    </w:r>
    <w:r w:rsidRPr="00B62BB2">
      <w:rPr>
        <w:sz w:val="18"/>
        <w:szCs w:val="18"/>
      </w:rPr>
      <w:t>-</w:t>
    </w:r>
    <w:r>
      <w:rPr>
        <w:sz w:val="18"/>
        <w:szCs w:val="18"/>
      </w:rPr>
      <w:t>1-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B0730C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B0730C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22" w:rsidRDefault="00C37322">
      <w:r>
        <w:separator/>
      </w:r>
    </w:p>
  </w:footnote>
  <w:footnote w:type="continuationSeparator" w:id="0">
    <w:p w:rsidR="00C37322" w:rsidRDefault="00C37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EC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1500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02F7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1013"/>
    <w:rsid w:val="007D2A4C"/>
    <w:rsid w:val="007D2AB2"/>
    <w:rsid w:val="007D2EF2"/>
    <w:rsid w:val="007D3D14"/>
    <w:rsid w:val="007D3E3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4B08"/>
    <w:rsid w:val="00935235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215C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72CD"/>
    <w:rsid w:val="00AD7A56"/>
    <w:rsid w:val="00AE1389"/>
    <w:rsid w:val="00AE3F94"/>
    <w:rsid w:val="00AE3FD2"/>
    <w:rsid w:val="00AE43BB"/>
    <w:rsid w:val="00AE5882"/>
    <w:rsid w:val="00AE6629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AE1"/>
    <w:rsid w:val="00DF1ED0"/>
    <w:rsid w:val="00DF3C2B"/>
    <w:rsid w:val="00DF51F6"/>
    <w:rsid w:val="00DF5835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248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DA700-8C16-4EB9-982B-0A81672C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2024-12-15T19:38:00Z</cp:lastPrinted>
  <dcterms:created xsi:type="dcterms:W3CDTF">2025-01-19T15:49:00Z</dcterms:created>
  <dcterms:modified xsi:type="dcterms:W3CDTF">2025-01-19T15:49:00Z</dcterms:modified>
</cp:coreProperties>
</file>